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74" w:rsidRPr="00587074" w:rsidRDefault="00587074" w:rsidP="005A4AD9">
      <w:pPr>
        <w:ind w:firstLine="709"/>
        <w:jc w:val="center"/>
        <w:rPr>
          <w:b/>
          <w:sz w:val="28"/>
          <w:szCs w:val="28"/>
        </w:rPr>
      </w:pPr>
      <w:r w:rsidRPr="00587074">
        <w:rPr>
          <w:b/>
          <w:sz w:val="28"/>
          <w:szCs w:val="28"/>
        </w:rPr>
        <w:t>Московская областная Дума рассмотрела и приняла к сведению отчет Комитета по вопросам имущественных отношений, землепользования, природных ресурсов и экологии</w:t>
      </w:r>
    </w:p>
    <w:p w:rsidR="00587074" w:rsidRDefault="00587074" w:rsidP="00587074">
      <w:pPr>
        <w:spacing w:line="360" w:lineRule="auto"/>
        <w:ind w:firstLine="709"/>
        <w:jc w:val="both"/>
        <w:rPr>
          <w:sz w:val="28"/>
          <w:szCs w:val="28"/>
        </w:rPr>
      </w:pPr>
    </w:p>
    <w:p w:rsidR="00587074" w:rsidRPr="00734A1C" w:rsidRDefault="005A4AD9" w:rsidP="00587074">
      <w:pPr>
        <w:spacing w:line="360" w:lineRule="auto"/>
        <w:ind w:firstLine="709"/>
        <w:jc w:val="both"/>
        <w:rPr>
          <w:sz w:val="28"/>
          <w:szCs w:val="28"/>
        </w:rPr>
      </w:pPr>
      <w:r>
        <w:rPr>
          <w:sz w:val="28"/>
          <w:szCs w:val="28"/>
        </w:rPr>
        <w:t>29 января 2015 года на заседании Московской областной Думы</w:t>
      </w:r>
      <w:r w:rsidR="00587074">
        <w:rPr>
          <w:sz w:val="28"/>
          <w:szCs w:val="28"/>
        </w:rPr>
        <w:t xml:space="preserve"> </w:t>
      </w:r>
      <w:r>
        <w:rPr>
          <w:sz w:val="28"/>
          <w:szCs w:val="28"/>
        </w:rPr>
        <w:t>с докладом</w:t>
      </w:r>
      <w:bookmarkStart w:id="0" w:name="_GoBack"/>
      <w:bookmarkEnd w:id="0"/>
      <w:r w:rsidR="00587074">
        <w:rPr>
          <w:sz w:val="28"/>
          <w:szCs w:val="28"/>
        </w:rPr>
        <w:t xml:space="preserve"> о работе Комитета в 2014 году выступил председатель Комитета В.Н. Шапкин который отметил, что з</w:t>
      </w:r>
      <w:r w:rsidR="00587074" w:rsidRPr="00734A1C">
        <w:rPr>
          <w:sz w:val="28"/>
          <w:szCs w:val="28"/>
        </w:rPr>
        <w:t xml:space="preserve">а отчетный период Комитетом были подготовлены к рассмотрению и приняты Московской областной Думой 27 </w:t>
      </w:r>
      <w:r w:rsidR="00587074">
        <w:rPr>
          <w:sz w:val="28"/>
          <w:szCs w:val="28"/>
        </w:rPr>
        <w:t>з</w:t>
      </w:r>
      <w:r w:rsidR="00587074" w:rsidRPr="00734A1C">
        <w:rPr>
          <w:sz w:val="28"/>
          <w:szCs w:val="28"/>
        </w:rPr>
        <w:t xml:space="preserve">аконов Московской области.  </w:t>
      </w:r>
    </w:p>
    <w:p w:rsidR="00587074" w:rsidRPr="00734A1C" w:rsidRDefault="00587074" w:rsidP="00587074">
      <w:pPr>
        <w:pStyle w:val="3"/>
        <w:spacing w:before="0" w:line="360" w:lineRule="auto"/>
        <w:rPr>
          <w:rFonts w:eastAsia="Calibri"/>
          <w:szCs w:val="28"/>
          <w:lang w:eastAsia="en-US"/>
        </w:rPr>
      </w:pPr>
      <w:r w:rsidRPr="00734A1C">
        <w:rPr>
          <w:rFonts w:eastAsia="Calibri"/>
          <w:szCs w:val="28"/>
          <w:lang w:eastAsia="en-US"/>
        </w:rPr>
        <w:t>К наиболее значимым Законам 2014 года можно отнести следующие законы:</w:t>
      </w:r>
    </w:p>
    <w:p w:rsidR="00587074" w:rsidRPr="00587074" w:rsidRDefault="00587074" w:rsidP="00587074">
      <w:pPr>
        <w:pStyle w:val="a6"/>
        <w:numPr>
          <w:ilvl w:val="0"/>
          <w:numId w:val="1"/>
        </w:numPr>
        <w:shd w:val="clear" w:color="auto" w:fill="FFFFFF"/>
        <w:spacing w:line="360" w:lineRule="auto"/>
        <w:ind w:left="0" w:firstLine="709"/>
        <w:jc w:val="both"/>
        <w:rPr>
          <w:rFonts w:ascii="Times New Roman" w:hAnsi="Times New Roman"/>
          <w:sz w:val="28"/>
          <w:szCs w:val="28"/>
        </w:rPr>
      </w:pPr>
      <w:r w:rsidRPr="00587074">
        <w:rPr>
          <w:rFonts w:ascii="Times New Roman" w:hAnsi="Times New Roman"/>
          <w:sz w:val="28"/>
          <w:szCs w:val="28"/>
        </w:rPr>
        <w:t xml:space="preserve">В сфере управления и распоряжения собственностью: </w:t>
      </w:r>
    </w:p>
    <w:p w:rsidR="00587074" w:rsidRPr="00734A1C" w:rsidRDefault="00587074" w:rsidP="00587074">
      <w:pPr>
        <w:pStyle w:val="a6"/>
        <w:shd w:val="clear" w:color="auto" w:fill="FFFFFF"/>
        <w:spacing w:line="360" w:lineRule="auto"/>
        <w:ind w:left="0" w:firstLine="709"/>
        <w:jc w:val="both"/>
        <w:rPr>
          <w:rFonts w:ascii="Times New Roman" w:hAnsi="Times New Roman"/>
          <w:sz w:val="28"/>
          <w:szCs w:val="28"/>
        </w:rPr>
      </w:pPr>
      <w:r w:rsidRPr="00734A1C">
        <w:rPr>
          <w:rFonts w:ascii="Times New Roman" w:hAnsi="Times New Roman"/>
          <w:sz w:val="28"/>
          <w:szCs w:val="28"/>
        </w:rPr>
        <w:t>Закон Московской области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p>
    <w:p w:rsidR="00587074" w:rsidRPr="00734A1C" w:rsidRDefault="00587074" w:rsidP="00587074">
      <w:pPr>
        <w:autoSpaceDE w:val="0"/>
        <w:autoSpaceDN w:val="0"/>
        <w:adjustRightInd w:val="0"/>
        <w:spacing w:line="360" w:lineRule="auto"/>
        <w:ind w:firstLine="709"/>
        <w:jc w:val="both"/>
        <w:rPr>
          <w:sz w:val="28"/>
          <w:szCs w:val="28"/>
        </w:rPr>
      </w:pPr>
      <w:r w:rsidRPr="00734A1C">
        <w:rPr>
          <w:sz w:val="28"/>
          <w:szCs w:val="28"/>
        </w:rPr>
        <w:t xml:space="preserve">Законопроект направлен на создание в Московской области условий для предоставления земельных участков, находящихся в государственной собственности, в безвозмездное срочное пользование жилищно-строительным кооперативам с целью обеспечения определенных категорий граждан (граждане, работающие в государственных и муниципальных образованиях, здравоохранения и культуры с общим стажем работы не менее 2-х лет, граждане являющиеся родителями трех и более детей)  жильем экономического класса. </w:t>
      </w:r>
    </w:p>
    <w:p w:rsidR="00587074" w:rsidRPr="00734A1C" w:rsidRDefault="00587074" w:rsidP="00587074">
      <w:pPr>
        <w:pStyle w:val="a6"/>
        <w:spacing w:line="360" w:lineRule="auto"/>
        <w:ind w:left="0" w:firstLine="709"/>
        <w:jc w:val="both"/>
        <w:rPr>
          <w:rFonts w:ascii="Times New Roman" w:hAnsi="Times New Roman"/>
          <w:sz w:val="28"/>
          <w:szCs w:val="28"/>
        </w:rPr>
      </w:pPr>
      <w:r w:rsidRPr="00734A1C">
        <w:rPr>
          <w:rFonts w:ascii="Times New Roman" w:hAnsi="Times New Roman"/>
          <w:sz w:val="28"/>
          <w:szCs w:val="28"/>
        </w:rPr>
        <w:t>Закон Московской области «О единой дате начала применения на территории Московской области порядка определения налоговой базы по налогу на имущество физических лиц исходя из кадастровой стоимости объектов налогообложения».</w:t>
      </w:r>
    </w:p>
    <w:p w:rsidR="00587074" w:rsidRPr="00734A1C" w:rsidRDefault="00587074" w:rsidP="00587074">
      <w:pPr>
        <w:spacing w:line="360" w:lineRule="auto"/>
        <w:ind w:firstLine="709"/>
        <w:jc w:val="both"/>
        <w:rPr>
          <w:sz w:val="28"/>
          <w:szCs w:val="28"/>
        </w:rPr>
      </w:pPr>
      <w:r w:rsidRPr="00734A1C">
        <w:rPr>
          <w:sz w:val="28"/>
          <w:szCs w:val="28"/>
        </w:rPr>
        <w:t>В соответствии с принятым Законом с 1 января 2015 года Московская область перейдет к расчету налога на недвижимое имущество физических лиц от кадастровой стоимости такого имущества.</w:t>
      </w:r>
    </w:p>
    <w:p w:rsidR="00587074" w:rsidRPr="00734A1C" w:rsidRDefault="00587074" w:rsidP="00587074">
      <w:pPr>
        <w:pStyle w:val="a6"/>
        <w:numPr>
          <w:ilvl w:val="0"/>
          <w:numId w:val="1"/>
        </w:numPr>
        <w:spacing w:line="360" w:lineRule="auto"/>
        <w:ind w:left="0" w:firstLine="709"/>
        <w:jc w:val="both"/>
        <w:rPr>
          <w:rFonts w:ascii="Times New Roman" w:hAnsi="Times New Roman"/>
          <w:sz w:val="28"/>
          <w:szCs w:val="28"/>
        </w:rPr>
      </w:pPr>
      <w:r w:rsidRPr="00587074">
        <w:rPr>
          <w:rFonts w:ascii="Times New Roman" w:hAnsi="Times New Roman"/>
          <w:sz w:val="28"/>
          <w:szCs w:val="28"/>
        </w:rPr>
        <w:lastRenderedPageBreak/>
        <w:t>В сфере земельных отношений</w:t>
      </w:r>
      <w:r w:rsidRPr="00734A1C">
        <w:rPr>
          <w:rFonts w:ascii="Times New Roman" w:hAnsi="Times New Roman"/>
          <w:sz w:val="28"/>
          <w:szCs w:val="28"/>
        </w:rPr>
        <w:t xml:space="preserve"> Московской областной Думой приняты два закона, вносящие изменения в Закон Московской области № 23/96-ОЗ «О регулировании земельных отношений в Московской области».</w:t>
      </w:r>
    </w:p>
    <w:p w:rsidR="00587074" w:rsidRPr="00734A1C" w:rsidRDefault="00587074" w:rsidP="00587074">
      <w:pPr>
        <w:spacing w:line="360" w:lineRule="auto"/>
        <w:ind w:firstLine="709"/>
        <w:jc w:val="both"/>
        <w:rPr>
          <w:sz w:val="28"/>
          <w:szCs w:val="28"/>
        </w:rPr>
      </w:pPr>
      <w:r w:rsidRPr="00734A1C">
        <w:rPr>
          <w:sz w:val="28"/>
          <w:szCs w:val="28"/>
        </w:rPr>
        <w:t>Один Закон разработан в целях реализации программы Губернатора Московской области «Усадьбы Подмосковья» и направлен на оказание дополнительной поддержки инвесторам, взявшим на себя обязательства по восстановлению объектов культурного наследия, расположенных на территории Московской области, в части предоставления льгот по арендной плате за земельные участки, на которых эти объекты находятся.</w:t>
      </w:r>
    </w:p>
    <w:p w:rsidR="00587074" w:rsidRPr="00734A1C" w:rsidRDefault="00587074" w:rsidP="00587074">
      <w:pPr>
        <w:spacing w:line="360" w:lineRule="auto"/>
        <w:ind w:firstLine="709"/>
        <w:jc w:val="both"/>
        <w:rPr>
          <w:sz w:val="28"/>
          <w:szCs w:val="28"/>
        </w:rPr>
      </w:pPr>
      <w:r w:rsidRPr="00734A1C">
        <w:rPr>
          <w:sz w:val="28"/>
          <w:szCs w:val="28"/>
        </w:rPr>
        <w:t>Другой Закон разработан в  целях увеличения доходов бюджета Московской области, расширения случаев освобождения от платы за изменение вида разрешенного использования земельного участка. В соответствии с Законом  предлагается:</w:t>
      </w:r>
    </w:p>
    <w:p w:rsidR="00587074" w:rsidRPr="00734A1C" w:rsidRDefault="00587074" w:rsidP="00587074">
      <w:pPr>
        <w:autoSpaceDE w:val="0"/>
        <w:autoSpaceDN w:val="0"/>
        <w:adjustRightInd w:val="0"/>
        <w:spacing w:line="360" w:lineRule="auto"/>
        <w:ind w:firstLine="709"/>
        <w:jc w:val="both"/>
        <w:outlineLvl w:val="0"/>
        <w:rPr>
          <w:sz w:val="28"/>
          <w:szCs w:val="28"/>
        </w:rPr>
      </w:pPr>
      <w:r w:rsidRPr="00734A1C">
        <w:rPr>
          <w:sz w:val="28"/>
          <w:szCs w:val="28"/>
        </w:rPr>
        <w:t>- дополнить случаи взимания платы за изменение вида разрешенного использования земельного участка случаями предоставления разрешения на условно разрешенный вид использования земельных участков;</w:t>
      </w:r>
    </w:p>
    <w:p w:rsidR="00587074" w:rsidRPr="00734A1C" w:rsidRDefault="00587074" w:rsidP="00587074">
      <w:pPr>
        <w:autoSpaceDE w:val="0"/>
        <w:autoSpaceDN w:val="0"/>
        <w:adjustRightInd w:val="0"/>
        <w:spacing w:line="360" w:lineRule="auto"/>
        <w:ind w:firstLine="709"/>
        <w:jc w:val="both"/>
        <w:outlineLvl w:val="0"/>
        <w:rPr>
          <w:sz w:val="28"/>
          <w:szCs w:val="28"/>
        </w:rPr>
      </w:pPr>
      <w:r w:rsidRPr="00734A1C">
        <w:rPr>
          <w:sz w:val="28"/>
          <w:szCs w:val="28"/>
        </w:rPr>
        <w:t>- производить расчет платы за изменение вида разрешенного использования земельного участка в зависимости от наличия (отсутствия) у собственника земельного участка проектов планировки и межевания территории, градостроительного плана земельного участка;</w:t>
      </w:r>
    </w:p>
    <w:p w:rsidR="00587074" w:rsidRPr="00734A1C" w:rsidRDefault="00587074" w:rsidP="00587074">
      <w:pPr>
        <w:autoSpaceDE w:val="0"/>
        <w:autoSpaceDN w:val="0"/>
        <w:adjustRightInd w:val="0"/>
        <w:spacing w:line="360" w:lineRule="auto"/>
        <w:ind w:firstLine="709"/>
        <w:jc w:val="both"/>
        <w:outlineLvl w:val="0"/>
        <w:rPr>
          <w:sz w:val="28"/>
          <w:szCs w:val="28"/>
        </w:rPr>
      </w:pPr>
      <w:r w:rsidRPr="00734A1C">
        <w:rPr>
          <w:sz w:val="28"/>
          <w:szCs w:val="28"/>
        </w:rPr>
        <w:t>- расширить случаи освобождения от платы за изменение вида разрешенного использования в зависимости от расположения земельного участка – с учетом социально-экономического развития муниципального образования.</w:t>
      </w:r>
    </w:p>
    <w:p w:rsidR="00587074" w:rsidRPr="00734A1C" w:rsidRDefault="00587074" w:rsidP="00587074">
      <w:pPr>
        <w:pStyle w:val="a6"/>
        <w:numPr>
          <w:ilvl w:val="0"/>
          <w:numId w:val="1"/>
        </w:numPr>
        <w:spacing w:line="360" w:lineRule="auto"/>
        <w:ind w:left="0" w:firstLine="709"/>
        <w:jc w:val="both"/>
        <w:rPr>
          <w:rFonts w:ascii="Times New Roman" w:hAnsi="Times New Roman"/>
          <w:sz w:val="28"/>
          <w:szCs w:val="28"/>
        </w:rPr>
      </w:pPr>
      <w:r w:rsidRPr="00587074">
        <w:rPr>
          <w:rFonts w:ascii="Times New Roman" w:hAnsi="Times New Roman"/>
          <w:sz w:val="28"/>
          <w:szCs w:val="28"/>
        </w:rPr>
        <w:t>В сфере природопользования</w:t>
      </w:r>
      <w:r w:rsidRPr="00734A1C">
        <w:rPr>
          <w:rFonts w:ascii="Times New Roman" w:hAnsi="Times New Roman"/>
          <w:sz w:val="28"/>
          <w:szCs w:val="28"/>
        </w:rPr>
        <w:t xml:space="preserve"> следует отметить принятие Закона «О внесении изменений в Закон Московской</w:t>
      </w:r>
      <w:r w:rsidRPr="00734A1C">
        <w:rPr>
          <w:rFonts w:ascii="Times New Roman" w:hAnsi="Times New Roman"/>
          <w:sz w:val="28"/>
          <w:szCs w:val="28"/>
        </w:rPr>
        <w:tab/>
        <w:t xml:space="preserve"> области «Об особо охраняемых природных территориях».</w:t>
      </w:r>
    </w:p>
    <w:p w:rsidR="00587074" w:rsidRPr="00734A1C" w:rsidRDefault="00587074" w:rsidP="00587074">
      <w:pPr>
        <w:widowControl w:val="0"/>
        <w:autoSpaceDE w:val="0"/>
        <w:autoSpaceDN w:val="0"/>
        <w:adjustRightInd w:val="0"/>
        <w:spacing w:line="360" w:lineRule="auto"/>
        <w:ind w:firstLine="709"/>
        <w:jc w:val="both"/>
        <w:rPr>
          <w:rFonts w:eastAsia="Calibri"/>
          <w:sz w:val="28"/>
          <w:szCs w:val="28"/>
        </w:rPr>
      </w:pPr>
      <w:r w:rsidRPr="00734A1C">
        <w:rPr>
          <w:rFonts w:eastAsia="Calibri"/>
          <w:sz w:val="28"/>
          <w:szCs w:val="28"/>
        </w:rPr>
        <w:t xml:space="preserve">Принятие Закона позволит реализовать возможность проведения мероприятий по определению границ ООПТ областного значения, в  </w:t>
      </w:r>
      <w:r w:rsidRPr="00734A1C">
        <w:rPr>
          <w:rFonts w:eastAsia="Calibri"/>
          <w:sz w:val="28"/>
          <w:szCs w:val="28"/>
        </w:rPr>
        <w:lastRenderedPageBreak/>
        <w:t>результате чего в государственный кадастр недвижимости будут своевременно внесены сведения о границах зон с особыми условиями использования территории в целях обеспечения сохранности территорий ООПТ областного значения и установленного для них режима особой охраны.</w:t>
      </w:r>
    </w:p>
    <w:p w:rsidR="00587074" w:rsidRPr="00734A1C" w:rsidRDefault="00587074" w:rsidP="00587074">
      <w:pPr>
        <w:spacing w:line="360" w:lineRule="auto"/>
        <w:ind w:firstLine="709"/>
        <w:jc w:val="both"/>
        <w:rPr>
          <w:rFonts w:eastAsia="Calibri"/>
          <w:sz w:val="28"/>
          <w:szCs w:val="28"/>
        </w:rPr>
      </w:pPr>
      <w:r w:rsidRPr="00734A1C">
        <w:rPr>
          <w:rFonts w:eastAsia="Calibri"/>
          <w:sz w:val="28"/>
          <w:szCs w:val="28"/>
        </w:rPr>
        <w:t xml:space="preserve">Также Закон дополнен новыми категориями особо охраняемых территорий местного значения: природные рекреационные комплексы, природные резерваты, памятники живой природы,- ландшафтные парки. </w:t>
      </w:r>
    </w:p>
    <w:p w:rsidR="00587074" w:rsidRPr="00734A1C" w:rsidRDefault="00587074" w:rsidP="00587074">
      <w:pPr>
        <w:spacing w:line="360" w:lineRule="auto"/>
        <w:ind w:firstLine="709"/>
        <w:jc w:val="both"/>
        <w:rPr>
          <w:rFonts w:eastAsia="Calibri"/>
          <w:sz w:val="28"/>
          <w:szCs w:val="28"/>
        </w:rPr>
      </w:pPr>
      <w:r w:rsidRPr="00734A1C">
        <w:rPr>
          <w:rFonts w:eastAsia="Calibri"/>
          <w:sz w:val="28"/>
          <w:szCs w:val="28"/>
        </w:rPr>
        <w:t xml:space="preserve">Другим Законом является Закон «О внесении изменений в Закон Московской области «О Правительстве Московской области» в </w:t>
      </w:r>
      <w:r w:rsidR="00577B52" w:rsidRPr="00734A1C">
        <w:rPr>
          <w:rFonts w:eastAsia="Calibri"/>
          <w:sz w:val="28"/>
          <w:szCs w:val="28"/>
        </w:rPr>
        <w:t>соответствии,</w:t>
      </w:r>
      <w:r w:rsidRPr="00734A1C">
        <w:rPr>
          <w:rFonts w:eastAsia="Calibri"/>
          <w:sz w:val="28"/>
          <w:szCs w:val="28"/>
        </w:rPr>
        <w:t xml:space="preserve"> с которым Правительство Московской области наделяется полномочиями по установлению ограничений на использование нефтепродуктов и других видов топлива, сжигание которых приводит к загрязнению атмосферного воздуха на  территории Московской области.</w:t>
      </w:r>
    </w:p>
    <w:p w:rsidR="00587074" w:rsidRPr="00734A1C" w:rsidRDefault="00577B52" w:rsidP="00587074">
      <w:pPr>
        <w:pStyle w:val="a6"/>
        <w:numPr>
          <w:ilvl w:val="0"/>
          <w:numId w:val="1"/>
        </w:numPr>
        <w:spacing w:line="360" w:lineRule="auto"/>
        <w:ind w:left="0" w:firstLine="709"/>
        <w:jc w:val="both"/>
        <w:rPr>
          <w:rFonts w:ascii="Times New Roman" w:hAnsi="Times New Roman"/>
          <w:sz w:val="28"/>
          <w:szCs w:val="28"/>
        </w:rPr>
      </w:pPr>
      <w:r w:rsidRPr="00587074">
        <w:rPr>
          <w:rFonts w:ascii="Times New Roman" w:hAnsi="Times New Roman"/>
          <w:sz w:val="28"/>
          <w:szCs w:val="28"/>
        </w:rPr>
        <w:t>В сфере обращения с отходами принят</w:t>
      </w:r>
      <w:r w:rsidRPr="00734A1C">
        <w:rPr>
          <w:rFonts w:ascii="Times New Roman" w:hAnsi="Times New Roman"/>
          <w:sz w:val="28"/>
          <w:szCs w:val="28"/>
        </w:rPr>
        <w:t xml:space="preserve"> Закон Московской области «О внесении изменений в закон Московской области «Об отходах производства и потребления в Московской области»</w:t>
      </w:r>
      <w:r>
        <w:rPr>
          <w:rFonts w:ascii="Times New Roman" w:hAnsi="Times New Roman"/>
          <w:sz w:val="28"/>
          <w:szCs w:val="28"/>
        </w:rPr>
        <w:t>,</w:t>
      </w:r>
      <w:r w:rsidRPr="00734A1C">
        <w:rPr>
          <w:rFonts w:ascii="Times New Roman" w:hAnsi="Times New Roman"/>
          <w:sz w:val="28"/>
          <w:szCs w:val="28"/>
        </w:rPr>
        <w:t xml:space="preserve"> в соответствии с которыми органы исполнительной власти Московской области наделяются полномочиями по утилизации и переработке бытовых и промышленных отходов, а за органами местного самоуправления остаются полномочия по сбору и вывозу отходов.</w:t>
      </w:r>
    </w:p>
    <w:p w:rsidR="00587074" w:rsidRPr="00734A1C" w:rsidRDefault="00587074" w:rsidP="00587074">
      <w:pPr>
        <w:spacing w:line="360" w:lineRule="auto"/>
        <w:ind w:firstLine="709"/>
        <w:jc w:val="both"/>
        <w:rPr>
          <w:sz w:val="28"/>
          <w:szCs w:val="28"/>
        </w:rPr>
      </w:pPr>
      <w:r w:rsidRPr="00734A1C">
        <w:rPr>
          <w:sz w:val="28"/>
          <w:szCs w:val="28"/>
        </w:rPr>
        <w:t xml:space="preserve">Важное место в деятельности Комитета занимает мониторинг законов Московской области. В 2014 году было проведено два мониторинга правоприменения законов Московской области. Одним из таких законов в 2014 году стал Закон «О бесплатном предоставлении земельных участков многодетным семьям в Московской области». Мониторинг данного Закона проводился в рамках реализации Указа Президента Российской  Федерации «О мерах по обеспечению граждан Российской Федерации доступным и </w:t>
      </w:r>
      <w:r w:rsidRPr="00734A1C">
        <w:rPr>
          <w:sz w:val="28"/>
          <w:szCs w:val="28"/>
        </w:rPr>
        <w:lastRenderedPageBreak/>
        <w:t xml:space="preserve">комфортным жильем и повышению качества жилищно-коммунальных услуг». </w:t>
      </w:r>
    </w:p>
    <w:p w:rsidR="00587074" w:rsidRPr="00734A1C" w:rsidRDefault="00587074" w:rsidP="00587074">
      <w:pPr>
        <w:spacing w:line="360" w:lineRule="auto"/>
        <w:ind w:firstLine="709"/>
        <w:jc w:val="both"/>
        <w:rPr>
          <w:sz w:val="28"/>
          <w:szCs w:val="28"/>
        </w:rPr>
      </w:pPr>
      <w:r w:rsidRPr="00734A1C">
        <w:rPr>
          <w:sz w:val="28"/>
          <w:szCs w:val="28"/>
        </w:rPr>
        <w:t xml:space="preserve">В мониторинге приняли участие все муниципальные образования Московской области. Итоги мониторинга показали, что одной из наиболее острых проблем является отсутствие на территории Московской области свободных земель, пригодных для предоставления многодетным семьям. Для решения данной проблемы муниципальные образования, располагающие свободными землями, помогают малоземельным муниципальным образованиям. Другой немаловажной проблемой является отсутствие финансирования работ по формированию земельных участков и обеспечению их объектами инженерной и транспортной инфраструктуры. </w:t>
      </w:r>
    </w:p>
    <w:p w:rsidR="00587074" w:rsidRPr="00734A1C" w:rsidRDefault="00587074" w:rsidP="00587074">
      <w:pPr>
        <w:spacing w:line="360" w:lineRule="auto"/>
        <w:ind w:firstLine="709"/>
        <w:jc w:val="both"/>
        <w:rPr>
          <w:sz w:val="28"/>
          <w:szCs w:val="28"/>
        </w:rPr>
      </w:pPr>
      <w:r w:rsidRPr="00734A1C">
        <w:rPr>
          <w:sz w:val="28"/>
          <w:szCs w:val="28"/>
        </w:rPr>
        <w:t xml:space="preserve">В соответствии с планом работы Московской областной Думы Комитет в отчетном периоде подготовил и провел ряд мероприятий. К наиболее значимым можно отнести: </w:t>
      </w:r>
    </w:p>
    <w:p w:rsidR="00587074" w:rsidRPr="00587074" w:rsidRDefault="00587074" w:rsidP="00587074">
      <w:pPr>
        <w:spacing w:line="360" w:lineRule="auto"/>
        <w:ind w:firstLine="709"/>
        <w:jc w:val="both"/>
        <w:rPr>
          <w:sz w:val="28"/>
          <w:szCs w:val="28"/>
        </w:rPr>
      </w:pPr>
      <w:r w:rsidRPr="00587074">
        <w:rPr>
          <w:sz w:val="28"/>
          <w:szCs w:val="28"/>
        </w:rPr>
        <w:t>Круглый стол на тему: «О результатах государственной кадастровой оценки земельных участков в Московской области в 2013 году»</w:t>
      </w:r>
      <w:r>
        <w:rPr>
          <w:sz w:val="28"/>
          <w:szCs w:val="28"/>
        </w:rPr>
        <w:t xml:space="preserve"> </w:t>
      </w:r>
      <w:r w:rsidRPr="00587074">
        <w:rPr>
          <w:sz w:val="28"/>
          <w:szCs w:val="28"/>
        </w:rPr>
        <w:t>к</w:t>
      </w:r>
      <w:r w:rsidRPr="00587074">
        <w:rPr>
          <w:sz w:val="28"/>
          <w:szCs w:val="28"/>
        </w:rPr>
        <w:t xml:space="preserve">руглый стол на тему «Использование земель сельскохозяйственного назначения в Московской области». </w:t>
      </w:r>
    </w:p>
    <w:p w:rsidR="00587074" w:rsidRPr="00734A1C" w:rsidRDefault="00587074" w:rsidP="00587074">
      <w:pPr>
        <w:spacing w:line="360" w:lineRule="auto"/>
        <w:ind w:firstLine="709"/>
        <w:jc w:val="both"/>
        <w:rPr>
          <w:sz w:val="28"/>
          <w:szCs w:val="28"/>
        </w:rPr>
      </w:pPr>
      <w:r w:rsidRPr="00734A1C">
        <w:rPr>
          <w:sz w:val="28"/>
          <w:szCs w:val="28"/>
        </w:rPr>
        <w:t xml:space="preserve">Среди вопросов, которые обсуждались на заседании круглого стола, обсуждались проблемы  повышения кадастровой стоимости земельных участков с 2015 года.  Наиболее остро ощутили увеличение кадастровой стоимости, а соответственно и земельного налога, садоводы, дачники, сельхозтоваропроизводители. </w:t>
      </w:r>
    </w:p>
    <w:p w:rsidR="00587074" w:rsidRPr="00734A1C" w:rsidRDefault="00587074" w:rsidP="00587074">
      <w:pPr>
        <w:spacing w:line="360" w:lineRule="auto"/>
        <w:ind w:firstLine="709"/>
        <w:jc w:val="both"/>
        <w:rPr>
          <w:sz w:val="28"/>
          <w:szCs w:val="28"/>
        </w:rPr>
      </w:pPr>
      <w:r w:rsidRPr="00734A1C">
        <w:rPr>
          <w:sz w:val="28"/>
          <w:szCs w:val="28"/>
        </w:rPr>
        <w:t xml:space="preserve">По мнению участников круглого стола, одним из путей решения данной проблемы послужит снижение органами местного самоуправления ставок земельного налога для земель сельскохозяйственного назначения для этих категорий. Также представляется целесообразным расширить категорию лиц, на которых распространяются льготы по земельному налогу. </w:t>
      </w:r>
    </w:p>
    <w:p w:rsidR="00587074" w:rsidRPr="00734A1C" w:rsidRDefault="00587074" w:rsidP="00587074">
      <w:pPr>
        <w:spacing w:line="360" w:lineRule="auto"/>
        <w:ind w:firstLine="709"/>
        <w:jc w:val="both"/>
        <w:rPr>
          <w:sz w:val="28"/>
          <w:szCs w:val="28"/>
        </w:rPr>
      </w:pPr>
      <w:r w:rsidRPr="00587074">
        <w:rPr>
          <w:sz w:val="28"/>
          <w:szCs w:val="28"/>
        </w:rPr>
        <w:lastRenderedPageBreak/>
        <w:t>Круглый стол на тему «О проблемах и перспективах развития садоводства, огородничества и дачного хозяйства»</w:t>
      </w:r>
      <w:r w:rsidRPr="00734A1C">
        <w:rPr>
          <w:sz w:val="28"/>
          <w:szCs w:val="28"/>
        </w:rPr>
        <w:t xml:space="preserve"> был организован и проведен в целях защиты прав садоводческих, огороднических и дачных некоммерческих объединений граждан, а также в целях осуществления поддержки развития садоводства, огородничества и дачного хозяйства  в Московской области. </w:t>
      </w:r>
    </w:p>
    <w:p w:rsidR="00587074" w:rsidRPr="00734A1C" w:rsidRDefault="00587074" w:rsidP="00587074">
      <w:pPr>
        <w:spacing w:line="360" w:lineRule="auto"/>
        <w:ind w:firstLine="709"/>
        <w:jc w:val="both"/>
        <w:rPr>
          <w:sz w:val="28"/>
          <w:szCs w:val="28"/>
        </w:rPr>
      </w:pPr>
      <w:r w:rsidRPr="00734A1C">
        <w:rPr>
          <w:sz w:val="28"/>
          <w:szCs w:val="28"/>
        </w:rPr>
        <w:t xml:space="preserve">Участники круглого стола отметили, что особо актуальными остаются вопросы снижения земельного налога и предоставления льгот отдельным категориям граждан (к примеру, пенсионерам, являющимся жителями Московской области). </w:t>
      </w:r>
      <w:r w:rsidR="00577B52" w:rsidRPr="00734A1C">
        <w:rPr>
          <w:sz w:val="28"/>
          <w:szCs w:val="28"/>
        </w:rPr>
        <w:t>Для этого могут быть запланированы средств</w:t>
      </w:r>
      <w:r w:rsidR="00577B52">
        <w:rPr>
          <w:sz w:val="28"/>
          <w:szCs w:val="28"/>
        </w:rPr>
        <w:t>а в местных бюджетах, тем более</w:t>
      </w:r>
      <w:r w:rsidR="00577B52" w:rsidRPr="00734A1C">
        <w:rPr>
          <w:sz w:val="28"/>
          <w:szCs w:val="28"/>
        </w:rPr>
        <w:t xml:space="preserve"> что некоторые формы поддержки дачников предусмотрены Федеральным законом «О садоводческих, огороднических и дачных некоммерческих объединениях граждан».  </w:t>
      </w:r>
    </w:p>
    <w:p w:rsidR="00587074" w:rsidRPr="00587074" w:rsidRDefault="00587074" w:rsidP="00587074">
      <w:pPr>
        <w:spacing w:line="360" w:lineRule="auto"/>
        <w:ind w:firstLine="709"/>
        <w:jc w:val="both"/>
        <w:rPr>
          <w:sz w:val="28"/>
          <w:szCs w:val="28"/>
        </w:rPr>
      </w:pPr>
      <w:r w:rsidRPr="00734A1C">
        <w:rPr>
          <w:sz w:val="28"/>
          <w:szCs w:val="28"/>
        </w:rPr>
        <w:t xml:space="preserve">Комитетом подготовлено и проведено </w:t>
      </w:r>
      <w:r w:rsidRPr="00587074">
        <w:rPr>
          <w:sz w:val="28"/>
          <w:szCs w:val="28"/>
        </w:rPr>
        <w:t xml:space="preserve">Координационное совещание с участием представителей законодательных (представительных) органов государственной власти субъектов Российской Федерации, входящих в Центральный федеральный округ, на тему «Развитие и модернизация системы обращения твердых бытовых отходов: принципы эффективного комплексного управления». </w:t>
      </w:r>
    </w:p>
    <w:p w:rsidR="00587074" w:rsidRPr="00734A1C" w:rsidRDefault="00587074" w:rsidP="00587074">
      <w:pPr>
        <w:spacing w:line="360" w:lineRule="auto"/>
        <w:ind w:firstLine="709"/>
        <w:jc w:val="both"/>
        <w:rPr>
          <w:sz w:val="28"/>
          <w:szCs w:val="28"/>
        </w:rPr>
      </w:pPr>
      <w:r w:rsidRPr="00734A1C">
        <w:rPr>
          <w:sz w:val="28"/>
          <w:szCs w:val="28"/>
        </w:rPr>
        <w:t xml:space="preserve">Принятое участниками Координационного совещания решение направлено  в Совет законодателей Центрального федерального округа Совета при полномочном представителе Президента Российской Федерации в Центральном федеральном округе для включения в проект решения при рассмотрении на заседании вопроса «Развитие и модернизация системы обращения твердых бытовых отходов: принципы эффективного  комплексного управления», руководителям законодательных (представительных) и исполнительных органов власти субъектов Российской Федерации, входящих в состав Центрального федерального округа. </w:t>
      </w:r>
    </w:p>
    <w:p w:rsidR="00587074" w:rsidRPr="00734A1C" w:rsidRDefault="00587074" w:rsidP="00587074">
      <w:pPr>
        <w:spacing w:line="360" w:lineRule="auto"/>
        <w:ind w:firstLine="709"/>
        <w:jc w:val="both"/>
        <w:rPr>
          <w:sz w:val="28"/>
          <w:szCs w:val="28"/>
        </w:rPr>
      </w:pPr>
      <w:r w:rsidRPr="00734A1C">
        <w:rPr>
          <w:sz w:val="28"/>
          <w:szCs w:val="28"/>
        </w:rPr>
        <w:lastRenderedPageBreak/>
        <w:t xml:space="preserve">За отчетный период Комитетом проведено 37 заседаний, рассмотрено 214 вопросов. </w:t>
      </w:r>
    </w:p>
    <w:p w:rsidR="00587074" w:rsidRPr="00734A1C" w:rsidRDefault="00587074" w:rsidP="00587074">
      <w:pPr>
        <w:spacing w:line="360" w:lineRule="auto"/>
        <w:ind w:firstLine="709"/>
        <w:jc w:val="both"/>
        <w:rPr>
          <w:sz w:val="28"/>
          <w:szCs w:val="28"/>
        </w:rPr>
      </w:pPr>
      <w:r w:rsidRPr="00734A1C">
        <w:rPr>
          <w:sz w:val="28"/>
          <w:szCs w:val="28"/>
        </w:rPr>
        <w:t xml:space="preserve">Комитетом рассмотрено 118 проектов федеральных законов по профилю деятельности и рассмотрены 25 законодательных инициатив других субъектов Российской Федерации, направленных на изменение федерального законодательства в сфере лесного, земельного и природоохранного законодательства, защиты прав граждан на благоприятную окружающую среду.  </w:t>
      </w:r>
    </w:p>
    <w:p w:rsidR="00587074" w:rsidRPr="00734A1C" w:rsidRDefault="00587074" w:rsidP="00587074">
      <w:pPr>
        <w:spacing w:line="360" w:lineRule="auto"/>
        <w:ind w:firstLine="709"/>
        <w:jc w:val="both"/>
        <w:rPr>
          <w:sz w:val="28"/>
          <w:szCs w:val="28"/>
        </w:rPr>
      </w:pPr>
      <w:r w:rsidRPr="00734A1C">
        <w:rPr>
          <w:sz w:val="28"/>
          <w:szCs w:val="28"/>
        </w:rPr>
        <w:t xml:space="preserve">Комитетом рассмотрено более 148 жалоб и обращений граждан, предприятий и общественных организаций, органов местного самоуправления муниципальных образований Московской области по вопросам  нарушения природоохранного и земельного законодательства, определения размеров платы за землю, бесплатного предоставления земельных участков многодетным семьям и другим вопросам. </w:t>
      </w:r>
    </w:p>
    <w:p w:rsidR="00587074" w:rsidRPr="00734A1C" w:rsidRDefault="00587074" w:rsidP="00587074">
      <w:pPr>
        <w:spacing w:line="360" w:lineRule="auto"/>
        <w:ind w:firstLine="709"/>
        <w:jc w:val="both"/>
        <w:rPr>
          <w:sz w:val="28"/>
          <w:szCs w:val="28"/>
        </w:rPr>
      </w:pPr>
      <w:r w:rsidRPr="00734A1C">
        <w:rPr>
          <w:sz w:val="28"/>
          <w:szCs w:val="28"/>
        </w:rPr>
        <w:t xml:space="preserve">В отчетном периоде также было проведено четыре выездных совещания Комитета по рассмотрению обращений граждан, поступивших в Московскую областную Думу. Комитет выезжал в Ногинский, Подольский, Балашихинский, Щелковский районы Московской области по вопросу нарушения природоохранного и санитарно-эпидемиологического законодательства с приглашением обратившихся граждан, органов местного самоуправления, государственных органов государственной власти, федеральных органов государственной власти, организаций и предприятий – нарушителей природоохранного законодательства. </w:t>
      </w:r>
    </w:p>
    <w:p w:rsidR="00587074" w:rsidRPr="00734A1C" w:rsidRDefault="00587074" w:rsidP="00587074">
      <w:pPr>
        <w:spacing w:line="360" w:lineRule="auto"/>
        <w:ind w:firstLine="709"/>
        <w:jc w:val="both"/>
        <w:rPr>
          <w:sz w:val="28"/>
          <w:szCs w:val="28"/>
        </w:rPr>
      </w:pPr>
      <w:r w:rsidRPr="00734A1C">
        <w:rPr>
          <w:sz w:val="28"/>
          <w:szCs w:val="28"/>
        </w:rPr>
        <w:t xml:space="preserve">В соответствии с посланием Президента Российской Федерации В.В. Путина Федеральному Собранию Российской Федерации от 4 декабря 2014 года Комитет проработал вопрос законодательного обеспечения положений послания и в 2015 году  планирует совместно с Министерством экологии и природопользования Московской области привести в соответствие Закон Московской области «Об охране окружающей среды в Московской области» </w:t>
      </w:r>
      <w:r w:rsidRPr="00734A1C">
        <w:rPr>
          <w:sz w:val="28"/>
          <w:szCs w:val="28"/>
        </w:rPr>
        <w:lastRenderedPageBreak/>
        <w:t xml:space="preserve">и «Об отходах производства и потребления в Московской области» Федеральному закону  «О внесении изменений в Федеральный закон «Об охране окружающей среды и отдельные законодательные акты Российской Федерации» (в части мер государственной поддержки при внедрении наилучших доступных технологий на территории Московской области). </w:t>
      </w:r>
    </w:p>
    <w:p w:rsidR="00587074" w:rsidRPr="00734A1C" w:rsidRDefault="00587074" w:rsidP="00587074">
      <w:pPr>
        <w:spacing w:line="360" w:lineRule="auto"/>
        <w:ind w:firstLine="709"/>
        <w:jc w:val="both"/>
        <w:rPr>
          <w:sz w:val="28"/>
          <w:szCs w:val="28"/>
        </w:rPr>
      </w:pPr>
      <w:r w:rsidRPr="00734A1C">
        <w:rPr>
          <w:sz w:val="28"/>
          <w:szCs w:val="28"/>
        </w:rPr>
        <w:t>Кроме того, в рамках обеспечения реализации принятых экологических стандартов, Комитет планирует в 2015 году проведение расширенного заседания совместно с Министерством экологии и природопользования Московской области на тему: «О реализации Правительством Московской области полномочий по установлению ограничений использования нефтепродуктов и других видов топлива, сжигание которых приводит к загрязнению атмосферного воздуха на территории Московской области</w:t>
      </w:r>
      <w:r w:rsidR="005A4AD9">
        <w:rPr>
          <w:sz w:val="28"/>
          <w:szCs w:val="28"/>
        </w:rPr>
        <w:t>»</w:t>
      </w:r>
      <w:r w:rsidRPr="00734A1C">
        <w:rPr>
          <w:sz w:val="28"/>
          <w:szCs w:val="28"/>
        </w:rPr>
        <w:t xml:space="preserve">. </w:t>
      </w:r>
    </w:p>
    <w:p w:rsidR="00587074" w:rsidRPr="00734A1C" w:rsidRDefault="00587074" w:rsidP="00587074">
      <w:pPr>
        <w:spacing w:line="360" w:lineRule="auto"/>
        <w:ind w:firstLine="709"/>
        <w:jc w:val="both"/>
        <w:rPr>
          <w:sz w:val="28"/>
          <w:szCs w:val="28"/>
        </w:rPr>
      </w:pPr>
      <w:r w:rsidRPr="00734A1C">
        <w:rPr>
          <w:sz w:val="28"/>
          <w:szCs w:val="28"/>
        </w:rPr>
        <w:t xml:space="preserve">Также Комитет совместно с Министерством экологии и природопользования Московской области планирует активно участвовать в решении проблемы обращения с отходами в рамках перераспределенных полномочий по организации утилизации и переработки отходов, а также в рамках приятого 29 декабря 2014 года Федерального закона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p>
    <w:p w:rsidR="00C54BC8" w:rsidRDefault="00C54BC8"/>
    <w:sectPr w:rsidR="00C54BC8" w:rsidSect="00796C12">
      <w:headerReference w:type="even" r:id="rId8"/>
      <w:headerReference w:type="default" r:id="rId9"/>
      <w:footerReference w:type="default" r:id="rId10"/>
      <w:pgSz w:w="11900" w:h="16820"/>
      <w:pgMar w:top="851" w:right="919" w:bottom="719" w:left="1701"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74" w:rsidRDefault="00587074" w:rsidP="00587074">
      <w:r>
        <w:separator/>
      </w:r>
    </w:p>
  </w:endnote>
  <w:endnote w:type="continuationSeparator" w:id="0">
    <w:p w:rsidR="00587074" w:rsidRDefault="00587074" w:rsidP="0058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0D3" w:rsidRDefault="00577B52">
    <w:pPr>
      <w:pStyle w:val="a7"/>
      <w:jc w:val="right"/>
    </w:pPr>
    <w:r>
      <w:fldChar w:fldCharType="begin"/>
    </w:r>
    <w:r>
      <w:instrText>PAGE   \* MERGEFORMAT</w:instrText>
    </w:r>
    <w:r>
      <w:fldChar w:fldCharType="separate"/>
    </w:r>
    <w:r>
      <w:rPr>
        <w:noProof/>
      </w:rPr>
      <w:t>5</w:t>
    </w:r>
    <w:r>
      <w:fldChar w:fldCharType="end"/>
    </w:r>
  </w:p>
  <w:p w:rsidR="000C30D3" w:rsidRDefault="00577B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74" w:rsidRDefault="00587074" w:rsidP="00587074">
      <w:r>
        <w:separator/>
      </w:r>
    </w:p>
  </w:footnote>
  <w:footnote w:type="continuationSeparator" w:id="0">
    <w:p w:rsidR="00587074" w:rsidRDefault="00587074" w:rsidP="0058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2D7" w:rsidRDefault="00577B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02D7" w:rsidRDefault="00577B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45" w:rsidRDefault="00577B52" w:rsidP="00252CCD">
    <w:pPr>
      <w:pStyle w:val="a3"/>
      <w:ind w:left="-567" w:firstLine="0"/>
      <w:jc w:val="center"/>
    </w:pPr>
    <w:r>
      <w:fldChar w:fldCharType="begin"/>
    </w:r>
    <w:r>
      <w:instrText>PAGE   \* MERGEFORMAT</w:instrText>
    </w:r>
    <w:r>
      <w:fldChar w:fldCharType="separate"/>
    </w:r>
    <w:r>
      <w:rPr>
        <w:noProof/>
      </w:rPr>
      <w:t>5</w:t>
    </w:r>
    <w:r>
      <w:fldChar w:fldCharType="end"/>
    </w:r>
  </w:p>
  <w:p w:rsidR="00B102D7" w:rsidRDefault="00577B5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551A"/>
    <w:multiLevelType w:val="hybridMultilevel"/>
    <w:tmpl w:val="9FFC1D76"/>
    <w:lvl w:ilvl="0" w:tplc="E4E0EA1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74"/>
    <w:rsid w:val="000009BF"/>
    <w:rsid w:val="00012AE7"/>
    <w:rsid w:val="00015A79"/>
    <w:rsid w:val="00016830"/>
    <w:rsid w:val="00026218"/>
    <w:rsid w:val="00036BF8"/>
    <w:rsid w:val="00047B98"/>
    <w:rsid w:val="00071F1F"/>
    <w:rsid w:val="000751E5"/>
    <w:rsid w:val="00081CB2"/>
    <w:rsid w:val="000900CA"/>
    <w:rsid w:val="000A339F"/>
    <w:rsid w:val="000A4D4C"/>
    <w:rsid w:val="000A5A0E"/>
    <w:rsid w:val="000B15EB"/>
    <w:rsid w:val="000B3613"/>
    <w:rsid w:val="000B7036"/>
    <w:rsid w:val="000C01A1"/>
    <w:rsid w:val="000D5FC4"/>
    <w:rsid w:val="000E1D32"/>
    <w:rsid w:val="000E3F99"/>
    <w:rsid w:val="000F3745"/>
    <w:rsid w:val="000F6C3E"/>
    <w:rsid w:val="00101B17"/>
    <w:rsid w:val="001149DF"/>
    <w:rsid w:val="00120031"/>
    <w:rsid w:val="001240E8"/>
    <w:rsid w:val="0013188E"/>
    <w:rsid w:val="0014175E"/>
    <w:rsid w:val="001508D7"/>
    <w:rsid w:val="00150F96"/>
    <w:rsid w:val="00163B77"/>
    <w:rsid w:val="001663F6"/>
    <w:rsid w:val="0016786C"/>
    <w:rsid w:val="001A1891"/>
    <w:rsid w:val="001A33B2"/>
    <w:rsid w:val="001D2CAA"/>
    <w:rsid w:val="001F317E"/>
    <w:rsid w:val="002006F2"/>
    <w:rsid w:val="00211E24"/>
    <w:rsid w:val="0022066F"/>
    <w:rsid w:val="00250900"/>
    <w:rsid w:val="00257471"/>
    <w:rsid w:val="00266A0B"/>
    <w:rsid w:val="002775E2"/>
    <w:rsid w:val="00294243"/>
    <w:rsid w:val="002A2EA1"/>
    <w:rsid w:val="002A43C1"/>
    <w:rsid w:val="002D66CF"/>
    <w:rsid w:val="002E07D5"/>
    <w:rsid w:val="002F4D54"/>
    <w:rsid w:val="002F7172"/>
    <w:rsid w:val="00303BA6"/>
    <w:rsid w:val="0031700A"/>
    <w:rsid w:val="003239E6"/>
    <w:rsid w:val="00327CAE"/>
    <w:rsid w:val="00331C14"/>
    <w:rsid w:val="00337ACC"/>
    <w:rsid w:val="00340BB3"/>
    <w:rsid w:val="00350234"/>
    <w:rsid w:val="00351B54"/>
    <w:rsid w:val="0035409C"/>
    <w:rsid w:val="0035718C"/>
    <w:rsid w:val="0038042A"/>
    <w:rsid w:val="003A15B9"/>
    <w:rsid w:val="003B239D"/>
    <w:rsid w:val="003C7112"/>
    <w:rsid w:val="003D2DBA"/>
    <w:rsid w:val="003E26D3"/>
    <w:rsid w:val="003E2EE5"/>
    <w:rsid w:val="0040283A"/>
    <w:rsid w:val="00411272"/>
    <w:rsid w:val="004166E2"/>
    <w:rsid w:val="00460236"/>
    <w:rsid w:val="0046086F"/>
    <w:rsid w:val="00471B83"/>
    <w:rsid w:val="004953F3"/>
    <w:rsid w:val="004A5E83"/>
    <w:rsid w:val="004A7F57"/>
    <w:rsid w:val="004D135A"/>
    <w:rsid w:val="004D1512"/>
    <w:rsid w:val="004D1B93"/>
    <w:rsid w:val="004D4283"/>
    <w:rsid w:val="004D6A42"/>
    <w:rsid w:val="005278CD"/>
    <w:rsid w:val="00527BAA"/>
    <w:rsid w:val="005503FC"/>
    <w:rsid w:val="00551CDC"/>
    <w:rsid w:val="00563325"/>
    <w:rsid w:val="005708F9"/>
    <w:rsid w:val="005710E9"/>
    <w:rsid w:val="00572F5C"/>
    <w:rsid w:val="00577B52"/>
    <w:rsid w:val="0058237A"/>
    <w:rsid w:val="00587074"/>
    <w:rsid w:val="005A317B"/>
    <w:rsid w:val="005A4AD9"/>
    <w:rsid w:val="005A4E8D"/>
    <w:rsid w:val="005B2D4F"/>
    <w:rsid w:val="005B3BED"/>
    <w:rsid w:val="005C703D"/>
    <w:rsid w:val="005D2300"/>
    <w:rsid w:val="005D7E89"/>
    <w:rsid w:val="005E6A97"/>
    <w:rsid w:val="005F11D7"/>
    <w:rsid w:val="005F7CB9"/>
    <w:rsid w:val="006022F7"/>
    <w:rsid w:val="006047F4"/>
    <w:rsid w:val="0064181D"/>
    <w:rsid w:val="006529A7"/>
    <w:rsid w:val="00656A9C"/>
    <w:rsid w:val="006668D3"/>
    <w:rsid w:val="00675E05"/>
    <w:rsid w:val="00683C89"/>
    <w:rsid w:val="006A2F47"/>
    <w:rsid w:val="006B03F7"/>
    <w:rsid w:val="006C5733"/>
    <w:rsid w:val="006C6FEE"/>
    <w:rsid w:val="006E468E"/>
    <w:rsid w:val="007021C9"/>
    <w:rsid w:val="00702DCD"/>
    <w:rsid w:val="00703C87"/>
    <w:rsid w:val="00726151"/>
    <w:rsid w:val="007367E9"/>
    <w:rsid w:val="00741B67"/>
    <w:rsid w:val="007540F3"/>
    <w:rsid w:val="00771035"/>
    <w:rsid w:val="00773E14"/>
    <w:rsid w:val="00782328"/>
    <w:rsid w:val="007A1191"/>
    <w:rsid w:val="007B33AB"/>
    <w:rsid w:val="007C1928"/>
    <w:rsid w:val="007C63F9"/>
    <w:rsid w:val="007E2036"/>
    <w:rsid w:val="008046DA"/>
    <w:rsid w:val="00805793"/>
    <w:rsid w:val="00822D0C"/>
    <w:rsid w:val="00823FD7"/>
    <w:rsid w:val="0082746A"/>
    <w:rsid w:val="008300D6"/>
    <w:rsid w:val="008376E2"/>
    <w:rsid w:val="00842F9F"/>
    <w:rsid w:val="00856548"/>
    <w:rsid w:val="0086462D"/>
    <w:rsid w:val="0087068E"/>
    <w:rsid w:val="00877433"/>
    <w:rsid w:val="00877DC0"/>
    <w:rsid w:val="00890932"/>
    <w:rsid w:val="008B599B"/>
    <w:rsid w:val="008C2DD5"/>
    <w:rsid w:val="008D1C4E"/>
    <w:rsid w:val="008D4D19"/>
    <w:rsid w:val="008D5DC6"/>
    <w:rsid w:val="008E31F3"/>
    <w:rsid w:val="008F3CAB"/>
    <w:rsid w:val="00910E04"/>
    <w:rsid w:val="00916CF1"/>
    <w:rsid w:val="00923AF6"/>
    <w:rsid w:val="00925718"/>
    <w:rsid w:val="00941BD7"/>
    <w:rsid w:val="0095738D"/>
    <w:rsid w:val="0096351E"/>
    <w:rsid w:val="009678D3"/>
    <w:rsid w:val="00973649"/>
    <w:rsid w:val="00977021"/>
    <w:rsid w:val="00980996"/>
    <w:rsid w:val="009A0AFC"/>
    <w:rsid w:val="009A7063"/>
    <w:rsid w:val="009B0A12"/>
    <w:rsid w:val="009B403C"/>
    <w:rsid w:val="009B4A9B"/>
    <w:rsid w:val="009B6266"/>
    <w:rsid w:val="009C3422"/>
    <w:rsid w:val="009C5FC9"/>
    <w:rsid w:val="009D70F9"/>
    <w:rsid w:val="009E0A22"/>
    <w:rsid w:val="009E1142"/>
    <w:rsid w:val="009E75EC"/>
    <w:rsid w:val="009F4075"/>
    <w:rsid w:val="00A23614"/>
    <w:rsid w:val="00A26266"/>
    <w:rsid w:val="00A36D0C"/>
    <w:rsid w:val="00A40161"/>
    <w:rsid w:val="00A5478D"/>
    <w:rsid w:val="00A60A5F"/>
    <w:rsid w:val="00A76AD9"/>
    <w:rsid w:val="00A83884"/>
    <w:rsid w:val="00A92E22"/>
    <w:rsid w:val="00A93188"/>
    <w:rsid w:val="00AC4491"/>
    <w:rsid w:val="00AD13B2"/>
    <w:rsid w:val="00AE55A3"/>
    <w:rsid w:val="00AF13C7"/>
    <w:rsid w:val="00AF3D7F"/>
    <w:rsid w:val="00AF4B58"/>
    <w:rsid w:val="00B16190"/>
    <w:rsid w:val="00B210F6"/>
    <w:rsid w:val="00B30073"/>
    <w:rsid w:val="00B328D1"/>
    <w:rsid w:val="00B41639"/>
    <w:rsid w:val="00B45FFE"/>
    <w:rsid w:val="00B463DA"/>
    <w:rsid w:val="00B62451"/>
    <w:rsid w:val="00B669F6"/>
    <w:rsid w:val="00B67A7D"/>
    <w:rsid w:val="00B70984"/>
    <w:rsid w:val="00BA0071"/>
    <w:rsid w:val="00BA3ACF"/>
    <w:rsid w:val="00BB45E5"/>
    <w:rsid w:val="00BC1564"/>
    <w:rsid w:val="00BD0757"/>
    <w:rsid w:val="00BD3848"/>
    <w:rsid w:val="00BE3380"/>
    <w:rsid w:val="00BE48D6"/>
    <w:rsid w:val="00BE5600"/>
    <w:rsid w:val="00BE62F3"/>
    <w:rsid w:val="00C040D5"/>
    <w:rsid w:val="00C06531"/>
    <w:rsid w:val="00C36738"/>
    <w:rsid w:val="00C50936"/>
    <w:rsid w:val="00C54BC8"/>
    <w:rsid w:val="00CB2703"/>
    <w:rsid w:val="00CC0AFB"/>
    <w:rsid w:val="00CC1249"/>
    <w:rsid w:val="00CD468A"/>
    <w:rsid w:val="00CE222B"/>
    <w:rsid w:val="00CE47E0"/>
    <w:rsid w:val="00D26DDF"/>
    <w:rsid w:val="00D35A9F"/>
    <w:rsid w:val="00D453FA"/>
    <w:rsid w:val="00D55F6C"/>
    <w:rsid w:val="00D6320B"/>
    <w:rsid w:val="00D72DC3"/>
    <w:rsid w:val="00D7305D"/>
    <w:rsid w:val="00D811D3"/>
    <w:rsid w:val="00D81989"/>
    <w:rsid w:val="00D8491A"/>
    <w:rsid w:val="00D850E9"/>
    <w:rsid w:val="00DC2083"/>
    <w:rsid w:val="00DC3226"/>
    <w:rsid w:val="00DD2CC5"/>
    <w:rsid w:val="00DD6886"/>
    <w:rsid w:val="00DE3CA9"/>
    <w:rsid w:val="00DF0FE1"/>
    <w:rsid w:val="00DF2254"/>
    <w:rsid w:val="00E009DE"/>
    <w:rsid w:val="00E01E02"/>
    <w:rsid w:val="00E06D72"/>
    <w:rsid w:val="00E42621"/>
    <w:rsid w:val="00E53635"/>
    <w:rsid w:val="00E614E9"/>
    <w:rsid w:val="00E65925"/>
    <w:rsid w:val="00E74B97"/>
    <w:rsid w:val="00EA0640"/>
    <w:rsid w:val="00EA2381"/>
    <w:rsid w:val="00EC35E2"/>
    <w:rsid w:val="00EC4A50"/>
    <w:rsid w:val="00EE58C1"/>
    <w:rsid w:val="00EE790A"/>
    <w:rsid w:val="00F10789"/>
    <w:rsid w:val="00F17353"/>
    <w:rsid w:val="00F20697"/>
    <w:rsid w:val="00F23687"/>
    <w:rsid w:val="00F2401C"/>
    <w:rsid w:val="00F24EEE"/>
    <w:rsid w:val="00F315B2"/>
    <w:rsid w:val="00F32725"/>
    <w:rsid w:val="00F51B55"/>
    <w:rsid w:val="00F5568F"/>
    <w:rsid w:val="00F55FDF"/>
    <w:rsid w:val="00F56EEA"/>
    <w:rsid w:val="00F70C8E"/>
    <w:rsid w:val="00F7746C"/>
    <w:rsid w:val="00F77C9E"/>
    <w:rsid w:val="00FA06CC"/>
    <w:rsid w:val="00FB28D8"/>
    <w:rsid w:val="00FB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87074"/>
    <w:pPr>
      <w:widowControl w:val="0"/>
      <w:autoSpaceDE w:val="0"/>
      <w:autoSpaceDN w:val="0"/>
      <w:adjustRightInd w:val="0"/>
      <w:spacing w:before="260" w:line="260" w:lineRule="auto"/>
      <w:ind w:firstLine="709"/>
      <w:jc w:val="both"/>
    </w:pPr>
    <w:rPr>
      <w:sz w:val="28"/>
    </w:rPr>
  </w:style>
  <w:style w:type="character" w:customStyle="1" w:styleId="30">
    <w:name w:val="Основной текст с отступом 3 Знак"/>
    <w:basedOn w:val="a0"/>
    <w:link w:val="3"/>
    <w:rsid w:val="00587074"/>
    <w:rPr>
      <w:rFonts w:ascii="Times New Roman" w:eastAsia="Times New Roman" w:hAnsi="Times New Roman" w:cs="Times New Roman"/>
      <w:sz w:val="28"/>
      <w:szCs w:val="24"/>
      <w:lang w:eastAsia="ru-RU"/>
    </w:rPr>
  </w:style>
  <w:style w:type="paragraph" w:styleId="a3">
    <w:name w:val="header"/>
    <w:basedOn w:val="a"/>
    <w:link w:val="a4"/>
    <w:uiPriority w:val="99"/>
    <w:rsid w:val="00587074"/>
    <w:pPr>
      <w:widowControl w:val="0"/>
      <w:tabs>
        <w:tab w:val="center" w:pos="4153"/>
        <w:tab w:val="right" w:pos="8306"/>
      </w:tabs>
      <w:autoSpaceDE w:val="0"/>
      <w:autoSpaceDN w:val="0"/>
      <w:adjustRightInd w:val="0"/>
      <w:spacing w:line="300" w:lineRule="auto"/>
      <w:ind w:firstLine="700"/>
    </w:pPr>
  </w:style>
  <w:style w:type="character" w:customStyle="1" w:styleId="a4">
    <w:name w:val="Верхний колонтитул Знак"/>
    <w:basedOn w:val="a0"/>
    <w:link w:val="a3"/>
    <w:uiPriority w:val="99"/>
    <w:rsid w:val="00587074"/>
    <w:rPr>
      <w:rFonts w:ascii="Times New Roman" w:eastAsia="Times New Roman" w:hAnsi="Times New Roman" w:cs="Times New Roman"/>
      <w:sz w:val="24"/>
      <w:szCs w:val="24"/>
      <w:lang w:eastAsia="ru-RU"/>
    </w:rPr>
  </w:style>
  <w:style w:type="character" w:styleId="a5">
    <w:name w:val="page number"/>
    <w:basedOn w:val="a0"/>
    <w:rsid w:val="00587074"/>
  </w:style>
  <w:style w:type="paragraph" w:styleId="a6">
    <w:name w:val="List Paragraph"/>
    <w:basedOn w:val="a"/>
    <w:uiPriority w:val="34"/>
    <w:qFormat/>
    <w:rsid w:val="00587074"/>
    <w:pPr>
      <w:ind w:left="720"/>
      <w:contextualSpacing/>
      <w:jc w:val="center"/>
    </w:pPr>
    <w:rPr>
      <w:rFonts w:ascii="Calibri" w:eastAsia="Calibri" w:hAnsi="Calibri"/>
      <w:sz w:val="22"/>
      <w:szCs w:val="22"/>
      <w:lang w:eastAsia="en-US"/>
    </w:rPr>
  </w:style>
  <w:style w:type="paragraph" w:styleId="a7">
    <w:name w:val="footer"/>
    <w:basedOn w:val="a"/>
    <w:link w:val="a8"/>
    <w:uiPriority w:val="99"/>
    <w:unhideWhenUsed/>
    <w:rsid w:val="00587074"/>
    <w:pPr>
      <w:tabs>
        <w:tab w:val="center" w:pos="4677"/>
        <w:tab w:val="right" w:pos="9355"/>
      </w:tabs>
    </w:pPr>
  </w:style>
  <w:style w:type="character" w:customStyle="1" w:styleId="a8">
    <w:name w:val="Нижний колонтитул Знак"/>
    <w:basedOn w:val="a0"/>
    <w:link w:val="a7"/>
    <w:uiPriority w:val="99"/>
    <w:rsid w:val="005870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4AD9"/>
    <w:rPr>
      <w:rFonts w:ascii="Tahoma" w:hAnsi="Tahoma" w:cs="Tahoma"/>
      <w:sz w:val="16"/>
      <w:szCs w:val="16"/>
    </w:rPr>
  </w:style>
  <w:style w:type="character" w:customStyle="1" w:styleId="aa">
    <w:name w:val="Текст выноски Знак"/>
    <w:basedOn w:val="a0"/>
    <w:link w:val="a9"/>
    <w:uiPriority w:val="99"/>
    <w:semiHidden/>
    <w:rsid w:val="005A4A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87074"/>
    <w:pPr>
      <w:widowControl w:val="0"/>
      <w:autoSpaceDE w:val="0"/>
      <w:autoSpaceDN w:val="0"/>
      <w:adjustRightInd w:val="0"/>
      <w:spacing w:before="260" w:line="260" w:lineRule="auto"/>
      <w:ind w:firstLine="709"/>
      <w:jc w:val="both"/>
    </w:pPr>
    <w:rPr>
      <w:sz w:val="28"/>
    </w:rPr>
  </w:style>
  <w:style w:type="character" w:customStyle="1" w:styleId="30">
    <w:name w:val="Основной текст с отступом 3 Знак"/>
    <w:basedOn w:val="a0"/>
    <w:link w:val="3"/>
    <w:rsid w:val="00587074"/>
    <w:rPr>
      <w:rFonts w:ascii="Times New Roman" w:eastAsia="Times New Roman" w:hAnsi="Times New Roman" w:cs="Times New Roman"/>
      <w:sz w:val="28"/>
      <w:szCs w:val="24"/>
      <w:lang w:eastAsia="ru-RU"/>
    </w:rPr>
  </w:style>
  <w:style w:type="paragraph" w:styleId="a3">
    <w:name w:val="header"/>
    <w:basedOn w:val="a"/>
    <w:link w:val="a4"/>
    <w:uiPriority w:val="99"/>
    <w:rsid w:val="00587074"/>
    <w:pPr>
      <w:widowControl w:val="0"/>
      <w:tabs>
        <w:tab w:val="center" w:pos="4153"/>
        <w:tab w:val="right" w:pos="8306"/>
      </w:tabs>
      <w:autoSpaceDE w:val="0"/>
      <w:autoSpaceDN w:val="0"/>
      <w:adjustRightInd w:val="0"/>
      <w:spacing w:line="300" w:lineRule="auto"/>
      <w:ind w:firstLine="700"/>
    </w:pPr>
  </w:style>
  <w:style w:type="character" w:customStyle="1" w:styleId="a4">
    <w:name w:val="Верхний колонтитул Знак"/>
    <w:basedOn w:val="a0"/>
    <w:link w:val="a3"/>
    <w:uiPriority w:val="99"/>
    <w:rsid w:val="00587074"/>
    <w:rPr>
      <w:rFonts w:ascii="Times New Roman" w:eastAsia="Times New Roman" w:hAnsi="Times New Roman" w:cs="Times New Roman"/>
      <w:sz w:val="24"/>
      <w:szCs w:val="24"/>
      <w:lang w:eastAsia="ru-RU"/>
    </w:rPr>
  </w:style>
  <w:style w:type="character" w:styleId="a5">
    <w:name w:val="page number"/>
    <w:basedOn w:val="a0"/>
    <w:rsid w:val="00587074"/>
  </w:style>
  <w:style w:type="paragraph" w:styleId="a6">
    <w:name w:val="List Paragraph"/>
    <w:basedOn w:val="a"/>
    <w:uiPriority w:val="34"/>
    <w:qFormat/>
    <w:rsid w:val="00587074"/>
    <w:pPr>
      <w:ind w:left="720"/>
      <w:contextualSpacing/>
      <w:jc w:val="center"/>
    </w:pPr>
    <w:rPr>
      <w:rFonts w:ascii="Calibri" w:eastAsia="Calibri" w:hAnsi="Calibri"/>
      <w:sz w:val="22"/>
      <w:szCs w:val="22"/>
      <w:lang w:eastAsia="en-US"/>
    </w:rPr>
  </w:style>
  <w:style w:type="paragraph" w:styleId="a7">
    <w:name w:val="footer"/>
    <w:basedOn w:val="a"/>
    <w:link w:val="a8"/>
    <w:uiPriority w:val="99"/>
    <w:unhideWhenUsed/>
    <w:rsid w:val="00587074"/>
    <w:pPr>
      <w:tabs>
        <w:tab w:val="center" w:pos="4677"/>
        <w:tab w:val="right" w:pos="9355"/>
      </w:tabs>
    </w:pPr>
  </w:style>
  <w:style w:type="character" w:customStyle="1" w:styleId="a8">
    <w:name w:val="Нижний колонтитул Знак"/>
    <w:basedOn w:val="a0"/>
    <w:link w:val="a7"/>
    <w:uiPriority w:val="99"/>
    <w:rsid w:val="0058707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4AD9"/>
    <w:rPr>
      <w:rFonts w:ascii="Tahoma" w:hAnsi="Tahoma" w:cs="Tahoma"/>
      <w:sz w:val="16"/>
      <w:szCs w:val="16"/>
    </w:rPr>
  </w:style>
  <w:style w:type="character" w:customStyle="1" w:styleId="aa">
    <w:name w:val="Текст выноски Знак"/>
    <w:basedOn w:val="a0"/>
    <w:link w:val="a9"/>
    <w:uiPriority w:val="99"/>
    <w:semiHidden/>
    <w:rsid w:val="005A4A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Маякова Нелли Сергеевна</dc:creator>
  <cp:lastModifiedBy>Маякова Нелли Сергеевна</cp:lastModifiedBy>
  <cp:revision>2</cp:revision>
  <cp:lastPrinted>2015-01-29T11:05:00Z</cp:lastPrinted>
  <dcterms:created xsi:type="dcterms:W3CDTF">2015-01-29T10:58:00Z</dcterms:created>
  <dcterms:modified xsi:type="dcterms:W3CDTF">2015-01-29T11:07:00Z</dcterms:modified>
</cp:coreProperties>
</file>